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6D67" w14:textId="77777777" w:rsidR="001C1F72" w:rsidRPr="00DC1AEF" w:rsidRDefault="001C1F72" w:rsidP="00DC1AEF">
      <w:pPr>
        <w:jc w:val="both"/>
        <w:rPr>
          <w:rFonts w:ascii="Verdana" w:hAnsi="Verdana"/>
          <w:sz w:val="24"/>
          <w:szCs w:val="24"/>
        </w:rPr>
      </w:pPr>
      <w:r w:rsidRPr="00DC1AEF">
        <w:rPr>
          <w:rFonts w:ascii="Verdana" w:hAnsi="Verdana"/>
          <w:sz w:val="24"/>
          <w:szCs w:val="24"/>
        </w:rPr>
        <w:t xml:space="preserve">Situación en otras Comunidades: </w:t>
      </w:r>
    </w:p>
    <w:p w14:paraId="2F5AF3A4" w14:textId="77777777" w:rsidR="001C1F72" w:rsidRPr="00DC1AEF" w:rsidRDefault="001C1F72" w:rsidP="00DC1AEF">
      <w:pPr>
        <w:pStyle w:val="Textoindependiente"/>
        <w:overflowPunct w:val="0"/>
        <w:spacing w:before="161" w:line="252" w:lineRule="auto"/>
        <w:ind w:left="102" w:right="115"/>
        <w:jc w:val="both"/>
        <w:rPr>
          <w:rFonts w:ascii="Verdana" w:hAnsi="Verdana"/>
          <w:sz w:val="24"/>
          <w:szCs w:val="24"/>
        </w:rPr>
      </w:pPr>
    </w:p>
    <w:p w14:paraId="4F41B1A5" w14:textId="77777777" w:rsidR="001C1F72" w:rsidRPr="00DC1AEF" w:rsidRDefault="001C1F72" w:rsidP="00DC1AEF">
      <w:pPr>
        <w:pStyle w:val="Textoindependiente"/>
        <w:overflowPunct w:val="0"/>
        <w:spacing w:before="161" w:line="252" w:lineRule="auto"/>
        <w:ind w:left="102" w:right="115"/>
        <w:jc w:val="both"/>
        <w:rPr>
          <w:rFonts w:ascii="Verdana" w:hAnsi="Verdana"/>
          <w:sz w:val="24"/>
          <w:szCs w:val="24"/>
        </w:rPr>
      </w:pPr>
      <w:r w:rsidRPr="00DC1AEF">
        <w:rPr>
          <w:rFonts w:ascii="Verdana" w:hAnsi="Verdana"/>
          <w:b/>
          <w:bCs/>
          <w:sz w:val="24"/>
          <w:szCs w:val="24"/>
        </w:rPr>
        <w:t>Cataluña: “</w:t>
      </w:r>
      <w:r w:rsidRPr="00DC1AEF">
        <w:rPr>
          <w:rFonts w:ascii="Verdana" w:hAnsi="Verdana"/>
          <w:sz w:val="24"/>
          <w:szCs w:val="24"/>
        </w:rPr>
        <w:t xml:space="preserve">Con el objetivo de garantizar la adecuada protección de las personas usuarias del transporte público, se incluirá dentro de las previsiones económicas las posibles necesidades económicas más elevadas resultado del incremento de los gastos de los operadores de transporte público como consecuencia de necesidades de recursos materiales y personales más grandes, así como del impacto que la previsible disminución de los ingresos tarifarios tendrá en el sistema de transporte. Las autoridades de transporte metropolitano competentes en el territorio o, en defecto de autoridad, las administraciones competentes que sean </w:t>
      </w:r>
      <w:proofErr w:type="gramStart"/>
      <w:r w:rsidRPr="00DC1AEF">
        <w:rPr>
          <w:rFonts w:ascii="Verdana" w:hAnsi="Verdana"/>
          <w:sz w:val="24"/>
          <w:szCs w:val="24"/>
        </w:rPr>
        <w:t>titulares,</w:t>
      </w:r>
      <w:proofErr w:type="gramEnd"/>
      <w:r w:rsidRPr="00DC1AEF">
        <w:rPr>
          <w:rFonts w:ascii="Verdana" w:hAnsi="Verdana"/>
          <w:sz w:val="24"/>
          <w:szCs w:val="24"/>
        </w:rPr>
        <w:t xml:space="preserve"> centralizarán toda la información de mayores necesidades económicas de sus respectivos sistemas, debiendo tramitar, verificar y cuantificar el conjunto de peticiones planteadas por los operadores prestatarios del servicio de transporte público afectados.</w:t>
      </w:r>
    </w:p>
    <w:p w14:paraId="2648E354" w14:textId="77777777" w:rsidR="001C1F72" w:rsidRPr="00DC1AEF" w:rsidRDefault="001C1F72" w:rsidP="00DC1AEF">
      <w:pPr>
        <w:pStyle w:val="Textoindependiente"/>
        <w:overflowPunct w:val="0"/>
        <w:spacing w:before="157" w:line="252" w:lineRule="auto"/>
        <w:ind w:left="102" w:right="115"/>
        <w:jc w:val="both"/>
        <w:rPr>
          <w:rFonts w:ascii="Verdana" w:hAnsi="Verdana"/>
          <w:sz w:val="24"/>
          <w:szCs w:val="24"/>
        </w:rPr>
      </w:pPr>
      <w:r w:rsidRPr="00DC1AEF">
        <w:rPr>
          <w:rFonts w:ascii="Verdana" w:hAnsi="Verdana"/>
          <w:sz w:val="24"/>
          <w:szCs w:val="24"/>
        </w:rPr>
        <w:t>Hay que proceder, pues, determinar los mecanismos adecuados para darle cumplimiento y poder garantizar el equilibrio económico de los operadores prestatarios de los servicios de transporte público (en adelante OTP).</w:t>
      </w:r>
    </w:p>
    <w:p w14:paraId="5545E5EE" w14:textId="77777777" w:rsidR="001C1F72" w:rsidRPr="00DC1AEF" w:rsidRDefault="001C1F72" w:rsidP="00DC1AEF">
      <w:pPr>
        <w:jc w:val="both"/>
        <w:rPr>
          <w:rFonts w:ascii="Verdana" w:hAnsi="Verdana"/>
          <w:b/>
          <w:bCs/>
          <w:sz w:val="24"/>
          <w:szCs w:val="24"/>
        </w:rPr>
      </w:pPr>
    </w:p>
    <w:p w14:paraId="7592C22F" w14:textId="77777777" w:rsidR="00912CA1" w:rsidRPr="00DC1AEF" w:rsidRDefault="00912CA1" w:rsidP="00DC1AEF">
      <w:pPr>
        <w:jc w:val="both"/>
        <w:rPr>
          <w:rFonts w:asciiTheme="minorHAnsi" w:hAnsiTheme="minorHAnsi"/>
          <w:sz w:val="24"/>
          <w:szCs w:val="24"/>
        </w:rPr>
      </w:pPr>
      <w:r w:rsidRPr="00DC1AEF">
        <w:rPr>
          <w:rFonts w:asciiTheme="minorHAnsi" w:hAnsiTheme="minorHAnsi"/>
          <w:sz w:val="24"/>
          <w:szCs w:val="24"/>
        </w:rPr>
        <w:t>Los importes computables son:</w:t>
      </w:r>
    </w:p>
    <w:p w14:paraId="1A308667" w14:textId="77777777" w:rsidR="00912CA1" w:rsidRPr="00DC1AEF" w:rsidRDefault="00912CA1" w:rsidP="00DC1AEF">
      <w:pPr>
        <w:jc w:val="both"/>
        <w:rPr>
          <w:rFonts w:asciiTheme="minorHAnsi" w:hAnsiTheme="minorHAnsi"/>
          <w:sz w:val="24"/>
          <w:szCs w:val="24"/>
        </w:rPr>
      </w:pPr>
    </w:p>
    <w:p w14:paraId="52A0E4AD" w14:textId="77777777" w:rsidR="00912CA1" w:rsidRPr="00DC1AEF" w:rsidRDefault="00912CA1" w:rsidP="00DC1AEF">
      <w:pPr>
        <w:ind w:left="426" w:hanging="284"/>
        <w:jc w:val="both"/>
        <w:rPr>
          <w:rFonts w:asciiTheme="minorHAnsi" w:hAnsiTheme="minorHAnsi"/>
          <w:sz w:val="24"/>
          <w:szCs w:val="24"/>
        </w:rPr>
      </w:pPr>
      <w:r w:rsidRPr="00DC1AEF">
        <w:rPr>
          <w:rFonts w:asciiTheme="minorHAnsi" w:hAnsiTheme="minorHAnsi"/>
          <w:sz w:val="24"/>
          <w:szCs w:val="24"/>
        </w:rPr>
        <w:t>a) El incremento de gastos ocasionados para hacer frente a la transmisión del virus</w:t>
      </w:r>
    </w:p>
    <w:p w14:paraId="017190BA" w14:textId="77777777" w:rsidR="00912CA1" w:rsidRPr="00DC1AEF" w:rsidRDefault="00912CA1" w:rsidP="00DC1AEF">
      <w:pPr>
        <w:ind w:left="426" w:hanging="284"/>
        <w:jc w:val="both"/>
        <w:rPr>
          <w:rFonts w:asciiTheme="minorHAnsi" w:hAnsiTheme="minorHAnsi"/>
          <w:sz w:val="24"/>
          <w:szCs w:val="24"/>
        </w:rPr>
      </w:pPr>
      <w:r w:rsidRPr="00DC1AEF">
        <w:rPr>
          <w:rFonts w:asciiTheme="minorHAnsi" w:hAnsiTheme="minorHAnsi"/>
          <w:sz w:val="24"/>
          <w:szCs w:val="24"/>
        </w:rPr>
        <w:t>b) La</w:t>
      </w:r>
      <w:r w:rsidRPr="00DC1AEF">
        <w:rPr>
          <w:rFonts w:asciiTheme="minorHAnsi" w:hAnsiTheme="minorHAnsi"/>
          <w:spacing w:val="-14"/>
          <w:sz w:val="24"/>
          <w:szCs w:val="24"/>
        </w:rPr>
        <w:t xml:space="preserve"> </w:t>
      </w:r>
      <w:r w:rsidRPr="00DC1AEF">
        <w:rPr>
          <w:rFonts w:asciiTheme="minorHAnsi" w:hAnsiTheme="minorHAnsi"/>
          <w:sz w:val="24"/>
          <w:szCs w:val="24"/>
        </w:rPr>
        <w:t>contratación de</w:t>
      </w:r>
      <w:r w:rsidRPr="00DC1AEF">
        <w:rPr>
          <w:rFonts w:asciiTheme="minorHAnsi" w:hAnsiTheme="minorHAnsi"/>
          <w:spacing w:val="-12"/>
          <w:sz w:val="24"/>
          <w:szCs w:val="24"/>
        </w:rPr>
        <w:t xml:space="preserve"> </w:t>
      </w:r>
      <w:r w:rsidRPr="00DC1AEF">
        <w:rPr>
          <w:rFonts w:asciiTheme="minorHAnsi" w:hAnsiTheme="minorHAnsi"/>
          <w:sz w:val="24"/>
          <w:szCs w:val="24"/>
        </w:rPr>
        <w:t>personal</w:t>
      </w:r>
      <w:r w:rsidRPr="00DC1AEF">
        <w:rPr>
          <w:rFonts w:asciiTheme="minorHAnsi" w:hAnsiTheme="minorHAnsi"/>
          <w:spacing w:val="-16"/>
          <w:sz w:val="24"/>
          <w:szCs w:val="24"/>
        </w:rPr>
        <w:t xml:space="preserve"> </w:t>
      </w:r>
      <w:r w:rsidRPr="00DC1AEF">
        <w:rPr>
          <w:rFonts w:asciiTheme="minorHAnsi" w:hAnsiTheme="minorHAnsi"/>
          <w:sz w:val="24"/>
          <w:szCs w:val="24"/>
        </w:rPr>
        <w:t>suplente</w:t>
      </w:r>
      <w:r w:rsidRPr="00DC1AEF">
        <w:rPr>
          <w:rFonts w:asciiTheme="minorHAnsi" w:hAnsiTheme="minorHAnsi"/>
          <w:spacing w:val="-13"/>
          <w:sz w:val="24"/>
          <w:szCs w:val="24"/>
        </w:rPr>
        <w:t xml:space="preserve"> </w:t>
      </w:r>
      <w:r w:rsidRPr="00DC1AEF">
        <w:rPr>
          <w:rFonts w:asciiTheme="minorHAnsi" w:hAnsiTheme="minorHAnsi"/>
          <w:sz w:val="24"/>
          <w:szCs w:val="24"/>
        </w:rPr>
        <w:t>para suplir</w:t>
      </w:r>
      <w:r w:rsidRPr="00DC1AEF">
        <w:rPr>
          <w:rFonts w:asciiTheme="minorHAnsi" w:hAnsiTheme="minorHAnsi"/>
          <w:spacing w:val="-14"/>
          <w:sz w:val="24"/>
          <w:szCs w:val="24"/>
        </w:rPr>
        <w:t xml:space="preserve"> </w:t>
      </w:r>
      <w:r w:rsidRPr="00DC1AEF">
        <w:rPr>
          <w:rFonts w:asciiTheme="minorHAnsi" w:hAnsiTheme="minorHAnsi"/>
          <w:sz w:val="24"/>
          <w:szCs w:val="24"/>
        </w:rPr>
        <w:t>las</w:t>
      </w:r>
      <w:r w:rsidRPr="00DC1AEF">
        <w:rPr>
          <w:rFonts w:asciiTheme="minorHAnsi" w:hAnsiTheme="minorHAnsi"/>
          <w:spacing w:val="-13"/>
          <w:sz w:val="24"/>
          <w:szCs w:val="24"/>
        </w:rPr>
        <w:t xml:space="preserve"> </w:t>
      </w:r>
      <w:r w:rsidRPr="00DC1AEF">
        <w:rPr>
          <w:rFonts w:asciiTheme="minorHAnsi" w:hAnsiTheme="minorHAnsi"/>
          <w:sz w:val="24"/>
          <w:szCs w:val="24"/>
        </w:rPr>
        <w:t>bajas</w:t>
      </w:r>
      <w:r w:rsidRPr="00DC1AEF">
        <w:rPr>
          <w:rFonts w:asciiTheme="minorHAnsi" w:hAnsiTheme="minorHAnsi"/>
          <w:spacing w:val="-14"/>
          <w:sz w:val="24"/>
          <w:szCs w:val="24"/>
        </w:rPr>
        <w:t xml:space="preserve"> </w:t>
      </w:r>
      <w:r w:rsidRPr="00DC1AEF">
        <w:rPr>
          <w:rFonts w:asciiTheme="minorHAnsi" w:hAnsiTheme="minorHAnsi"/>
          <w:sz w:val="24"/>
          <w:szCs w:val="24"/>
        </w:rPr>
        <w:t>en</w:t>
      </w:r>
      <w:r w:rsidRPr="00DC1AEF">
        <w:rPr>
          <w:rFonts w:asciiTheme="minorHAnsi" w:hAnsiTheme="minorHAnsi"/>
          <w:spacing w:val="-13"/>
          <w:sz w:val="24"/>
          <w:szCs w:val="24"/>
        </w:rPr>
        <w:t xml:space="preserve"> </w:t>
      </w:r>
      <w:r w:rsidRPr="00DC1AEF">
        <w:rPr>
          <w:rFonts w:asciiTheme="minorHAnsi" w:hAnsiTheme="minorHAnsi"/>
          <w:sz w:val="24"/>
          <w:szCs w:val="24"/>
        </w:rPr>
        <w:t>lugares</w:t>
      </w:r>
      <w:r w:rsidRPr="00DC1AEF">
        <w:rPr>
          <w:rFonts w:asciiTheme="minorHAnsi" w:hAnsiTheme="minorHAnsi"/>
          <w:spacing w:val="-14"/>
          <w:sz w:val="24"/>
          <w:szCs w:val="24"/>
        </w:rPr>
        <w:t xml:space="preserve"> </w:t>
      </w:r>
      <w:r w:rsidRPr="00DC1AEF">
        <w:rPr>
          <w:rFonts w:asciiTheme="minorHAnsi" w:hAnsiTheme="minorHAnsi"/>
          <w:sz w:val="24"/>
          <w:szCs w:val="24"/>
        </w:rPr>
        <w:t>de</w:t>
      </w:r>
      <w:r w:rsidRPr="00DC1AEF">
        <w:rPr>
          <w:rFonts w:asciiTheme="minorHAnsi" w:hAnsiTheme="minorHAnsi"/>
          <w:spacing w:val="-12"/>
          <w:sz w:val="24"/>
          <w:szCs w:val="24"/>
        </w:rPr>
        <w:t xml:space="preserve"> </w:t>
      </w:r>
      <w:r w:rsidRPr="00DC1AEF">
        <w:rPr>
          <w:rFonts w:asciiTheme="minorHAnsi" w:hAnsiTheme="minorHAnsi"/>
          <w:sz w:val="24"/>
          <w:szCs w:val="24"/>
        </w:rPr>
        <w:t>trabajo</w:t>
      </w:r>
      <w:r w:rsidRPr="00DC1AEF">
        <w:rPr>
          <w:rFonts w:asciiTheme="minorHAnsi" w:hAnsiTheme="minorHAnsi"/>
          <w:spacing w:val="-14"/>
          <w:sz w:val="24"/>
          <w:szCs w:val="24"/>
        </w:rPr>
        <w:t xml:space="preserve"> </w:t>
      </w:r>
      <w:r w:rsidRPr="00DC1AEF">
        <w:rPr>
          <w:rFonts w:asciiTheme="minorHAnsi" w:hAnsiTheme="minorHAnsi"/>
          <w:sz w:val="24"/>
          <w:szCs w:val="24"/>
        </w:rPr>
        <w:t>necesarios para mantener las</w:t>
      </w:r>
      <w:r w:rsidRPr="00DC1AEF">
        <w:rPr>
          <w:rFonts w:asciiTheme="minorHAnsi" w:hAnsiTheme="minorHAnsi"/>
          <w:spacing w:val="-4"/>
          <w:sz w:val="24"/>
          <w:szCs w:val="24"/>
        </w:rPr>
        <w:t xml:space="preserve"> </w:t>
      </w:r>
      <w:r w:rsidRPr="00DC1AEF">
        <w:rPr>
          <w:rFonts w:asciiTheme="minorHAnsi" w:hAnsiTheme="minorHAnsi"/>
          <w:sz w:val="24"/>
          <w:szCs w:val="24"/>
        </w:rPr>
        <w:t>operaciones</w:t>
      </w:r>
    </w:p>
    <w:p w14:paraId="7CC9D4CE" w14:textId="77777777" w:rsidR="00912CA1" w:rsidRPr="00DC1AEF" w:rsidRDefault="00912CA1" w:rsidP="00DC1AEF">
      <w:pPr>
        <w:ind w:left="426" w:hanging="284"/>
        <w:jc w:val="both"/>
        <w:rPr>
          <w:rFonts w:asciiTheme="minorHAnsi" w:hAnsiTheme="minorHAnsi"/>
          <w:sz w:val="24"/>
          <w:szCs w:val="24"/>
        </w:rPr>
      </w:pPr>
      <w:r w:rsidRPr="00DC1AEF">
        <w:rPr>
          <w:rFonts w:asciiTheme="minorHAnsi" w:hAnsiTheme="minorHAnsi"/>
          <w:sz w:val="24"/>
          <w:szCs w:val="24"/>
        </w:rPr>
        <w:t>c) Solo aplica a Contratos Programa. Compensan el coste fijo de los servicios no realizados.</w:t>
      </w:r>
    </w:p>
    <w:p w14:paraId="65F5ED9A" w14:textId="77777777" w:rsidR="00912CA1" w:rsidRPr="00DC1AEF" w:rsidRDefault="00912CA1" w:rsidP="00DC1AEF">
      <w:pPr>
        <w:ind w:left="426" w:hanging="284"/>
        <w:jc w:val="both"/>
        <w:rPr>
          <w:rFonts w:asciiTheme="minorHAnsi" w:hAnsiTheme="minorHAnsi"/>
          <w:sz w:val="24"/>
          <w:szCs w:val="24"/>
        </w:rPr>
      </w:pPr>
      <w:r w:rsidRPr="00DC1AEF">
        <w:rPr>
          <w:rFonts w:asciiTheme="minorHAnsi" w:hAnsiTheme="minorHAnsi"/>
          <w:sz w:val="24"/>
          <w:szCs w:val="24"/>
        </w:rPr>
        <w:t>d) Reducción de ingresos calculada del siguiente modo:</w:t>
      </w:r>
    </w:p>
    <w:p w14:paraId="26A9219C" w14:textId="77777777" w:rsidR="00912CA1" w:rsidRPr="00DC1AEF" w:rsidRDefault="00912CA1" w:rsidP="00DC1AEF">
      <w:pPr>
        <w:ind w:left="426"/>
        <w:jc w:val="both"/>
        <w:rPr>
          <w:rFonts w:asciiTheme="minorHAnsi" w:hAnsiTheme="minorHAnsi"/>
          <w:sz w:val="24"/>
          <w:szCs w:val="24"/>
        </w:rPr>
      </w:pPr>
      <w:r w:rsidRPr="00DC1AEF">
        <w:rPr>
          <w:rFonts w:asciiTheme="minorHAnsi" w:hAnsiTheme="minorHAnsi"/>
          <w:sz w:val="24"/>
          <w:szCs w:val="24"/>
        </w:rPr>
        <w:t xml:space="preserve">Ingresos mismo periodo del 2019 + Incremento previsto para 2020 (en base a evolución Enero y Febrero) – Recaudación real </w:t>
      </w:r>
    </w:p>
    <w:p w14:paraId="417B3065" w14:textId="77777777" w:rsidR="00912CA1" w:rsidRPr="00DC1AEF" w:rsidRDefault="00912CA1" w:rsidP="00DC1AEF">
      <w:pPr>
        <w:ind w:left="426"/>
        <w:jc w:val="both"/>
        <w:rPr>
          <w:rFonts w:asciiTheme="minorHAnsi" w:hAnsiTheme="minorHAnsi"/>
          <w:sz w:val="24"/>
          <w:szCs w:val="24"/>
        </w:rPr>
      </w:pPr>
      <w:r w:rsidRPr="00DC1AEF">
        <w:rPr>
          <w:rFonts w:asciiTheme="minorHAnsi" w:hAnsiTheme="minorHAnsi"/>
          <w:sz w:val="24"/>
          <w:szCs w:val="24"/>
        </w:rPr>
        <w:t xml:space="preserve">Al importe resultante, se le restará el ahorro de costes variables por los </w:t>
      </w:r>
      <w:proofErr w:type="spellStart"/>
      <w:r w:rsidRPr="00DC1AEF">
        <w:rPr>
          <w:rFonts w:asciiTheme="minorHAnsi" w:hAnsiTheme="minorHAnsi"/>
          <w:sz w:val="24"/>
          <w:szCs w:val="24"/>
        </w:rPr>
        <w:t>kms</w:t>
      </w:r>
      <w:proofErr w:type="spellEnd"/>
      <w:r w:rsidRPr="00DC1AEF">
        <w:rPr>
          <w:rFonts w:asciiTheme="minorHAnsi" w:hAnsiTheme="minorHAnsi"/>
          <w:sz w:val="24"/>
          <w:szCs w:val="24"/>
        </w:rPr>
        <w:t>. no realizados.</w:t>
      </w:r>
    </w:p>
    <w:p w14:paraId="2DFC5A8D" w14:textId="77777777" w:rsidR="00912CA1" w:rsidRPr="00DC1AEF" w:rsidRDefault="00912CA1" w:rsidP="00DC1AEF">
      <w:pPr>
        <w:ind w:left="426" w:hanging="284"/>
        <w:jc w:val="both"/>
        <w:rPr>
          <w:rFonts w:asciiTheme="minorHAnsi" w:hAnsiTheme="minorHAnsi"/>
          <w:sz w:val="24"/>
          <w:szCs w:val="24"/>
        </w:rPr>
      </w:pPr>
      <w:r w:rsidRPr="00DC1AEF">
        <w:rPr>
          <w:rFonts w:asciiTheme="minorHAnsi" w:hAnsiTheme="minorHAnsi"/>
          <w:sz w:val="24"/>
          <w:szCs w:val="24"/>
        </w:rPr>
        <w:t>e) Ingresos publicitarios, comisiones de ventas y otros.</w:t>
      </w:r>
    </w:p>
    <w:p w14:paraId="452A8E1E" w14:textId="77777777" w:rsidR="00912CA1" w:rsidRPr="00DC1AEF" w:rsidRDefault="00912CA1" w:rsidP="00DC1AEF">
      <w:pPr>
        <w:jc w:val="both"/>
        <w:rPr>
          <w:rFonts w:asciiTheme="minorHAnsi" w:hAnsiTheme="minorHAnsi"/>
          <w:b/>
          <w:bCs/>
          <w:sz w:val="24"/>
          <w:szCs w:val="24"/>
        </w:rPr>
      </w:pPr>
    </w:p>
    <w:p w14:paraId="0C9AE5E6" w14:textId="77777777" w:rsidR="00912CA1" w:rsidRPr="00DC1AEF" w:rsidRDefault="00912CA1" w:rsidP="00DC1AEF">
      <w:pPr>
        <w:jc w:val="both"/>
        <w:rPr>
          <w:rFonts w:asciiTheme="minorHAnsi" w:hAnsiTheme="minorHAnsi"/>
          <w:b/>
          <w:bCs/>
          <w:sz w:val="24"/>
          <w:szCs w:val="24"/>
        </w:rPr>
      </w:pPr>
    </w:p>
    <w:p w14:paraId="2D726998" w14:textId="77777777" w:rsidR="00912CA1" w:rsidRPr="00DC1AEF" w:rsidRDefault="00912CA1" w:rsidP="00DC1AEF">
      <w:pPr>
        <w:jc w:val="both"/>
        <w:rPr>
          <w:rFonts w:asciiTheme="minorHAnsi" w:hAnsiTheme="minorHAnsi"/>
          <w:b/>
          <w:bCs/>
          <w:sz w:val="24"/>
          <w:szCs w:val="24"/>
        </w:rPr>
      </w:pPr>
    </w:p>
    <w:p w14:paraId="1949B92C" w14:textId="77777777" w:rsidR="001C1F72" w:rsidRPr="00DC1AEF" w:rsidRDefault="001C1F72" w:rsidP="00DC1AEF">
      <w:pPr>
        <w:jc w:val="both"/>
        <w:rPr>
          <w:rFonts w:ascii="Verdana" w:hAnsi="Verdana"/>
          <w:sz w:val="24"/>
          <w:szCs w:val="24"/>
        </w:rPr>
      </w:pPr>
      <w:r w:rsidRPr="00DC1AEF">
        <w:rPr>
          <w:rFonts w:ascii="Verdana" w:hAnsi="Verdana"/>
          <w:b/>
          <w:bCs/>
          <w:sz w:val="24"/>
          <w:szCs w:val="24"/>
        </w:rPr>
        <w:t>Castilla León</w:t>
      </w:r>
      <w:r w:rsidRPr="00DC1AEF">
        <w:rPr>
          <w:rFonts w:ascii="Verdana" w:hAnsi="Verdana"/>
          <w:sz w:val="24"/>
          <w:szCs w:val="24"/>
        </w:rPr>
        <w:t>,  paga el 100% de las COPS, el 100% precio del escolar integrado  (pasando todo el escolar  a la demanda pura 100%)  y el 85% de la  diferencia de ingresos por viajeros del mes correspondiente del pasado año y el de este año.  </w:t>
      </w:r>
    </w:p>
    <w:p w14:paraId="3C51955E" w14:textId="77777777" w:rsidR="001C1F72" w:rsidRPr="00DC1AEF" w:rsidRDefault="001C1F72" w:rsidP="00DC1AEF">
      <w:pPr>
        <w:jc w:val="both"/>
        <w:rPr>
          <w:rFonts w:ascii="Verdana" w:hAnsi="Verdana"/>
          <w:sz w:val="24"/>
          <w:szCs w:val="24"/>
        </w:rPr>
      </w:pPr>
    </w:p>
    <w:p w14:paraId="20DBFC76" w14:textId="77777777" w:rsidR="001C1F72" w:rsidRPr="00DC1AEF" w:rsidRDefault="001C1F72" w:rsidP="00DC1AEF">
      <w:pPr>
        <w:jc w:val="both"/>
        <w:rPr>
          <w:rFonts w:ascii="Verdana" w:hAnsi="Verdana"/>
          <w:sz w:val="24"/>
          <w:szCs w:val="24"/>
        </w:rPr>
      </w:pPr>
      <w:r w:rsidRPr="00DC1AEF">
        <w:rPr>
          <w:rFonts w:ascii="Verdana" w:hAnsi="Verdana"/>
          <w:b/>
          <w:bCs/>
          <w:sz w:val="24"/>
          <w:szCs w:val="24"/>
        </w:rPr>
        <w:t>En Asturias</w:t>
      </w:r>
      <w:r w:rsidRPr="00DC1AEF">
        <w:rPr>
          <w:rFonts w:ascii="Verdana" w:hAnsi="Verdana"/>
          <w:sz w:val="24"/>
          <w:szCs w:val="24"/>
        </w:rPr>
        <w:t xml:space="preserve">, consideran que están  ante una imposición de obligación de servicio público por las capacidades no ocupadas y </w:t>
      </w:r>
      <w:r w:rsidR="002872CB" w:rsidRPr="00DC1AEF">
        <w:rPr>
          <w:rFonts w:ascii="Verdana" w:hAnsi="Verdana"/>
          <w:sz w:val="24"/>
          <w:szCs w:val="24"/>
        </w:rPr>
        <w:t xml:space="preserve">pagan </w:t>
      </w:r>
      <w:r w:rsidRPr="00DC1AEF">
        <w:rPr>
          <w:rFonts w:ascii="Verdana" w:hAnsi="Verdana"/>
          <w:sz w:val="24"/>
          <w:szCs w:val="24"/>
        </w:rPr>
        <w:t xml:space="preserve">  </w:t>
      </w:r>
      <w:r w:rsidR="002872CB" w:rsidRPr="00DC1AEF">
        <w:rPr>
          <w:rFonts w:ascii="Verdana" w:hAnsi="Verdana"/>
          <w:sz w:val="24"/>
          <w:szCs w:val="24"/>
        </w:rPr>
        <w:t xml:space="preserve">pro las plazas que del </w:t>
      </w:r>
      <w:r w:rsidRPr="00DC1AEF">
        <w:rPr>
          <w:rFonts w:ascii="Verdana" w:hAnsi="Verdana"/>
          <w:sz w:val="24"/>
          <w:szCs w:val="24"/>
        </w:rPr>
        <w:t> vehículo que no se pueda</w:t>
      </w:r>
      <w:r w:rsidR="002872CB" w:rsidRPr="00DC1AEF">
        <w:rPr>
          <w:rFonts w:ascii="Verdana" w:hAnsi="Verdana"/>
          <w:sz w:val="24"/>
          <w:szCs w:val="24"/>
        </w:rPr>
        <w:t>n</w:t>
      </w:r>
      <w:r w:rsidRPr="00DC1AEF">
        <w:rPr>
          <w:rFonts w:ascii="Verdana" w:hAnsi="Verdana"/>
          <w:sz w:val="24"/>
          <w:szCs w:val="24"/>
        </w:rPr>
        <w:t xml:space="preserve"> ocupar</w:t>
      </w:r>
      <w:r w:rsidR="002872CB" w:rsidRPr="00DC1AEF">
        <w:rPr>
          <w:rFonts w:ascii="Verdana" w:hAnsi="Verdana"/>
          <w:sz w:val="24"/>
          <w:szCs w:val="24"/>
        </w:rPr>
        <w:t xml:space="preserve"> a tarifa media</w:t>
      </w:r>
      <w:r w:rsidRPr="00DC1AEF">
        <w:rPr>
          <w:rFonts w:ascii="Verdana" w:hAnsi="Verdana"/>
          <w:sz w:val="24"/>
          <w:szCs w:val="24"/>
        </w:rPr>
        <w:t xml:space="preserve"> .</w:t>
      </w:r>
    </w:p>
    <w:p w14:paraId="3270EF05" w14:textId="77777777" w:rsidR="001C1F72" w:rsidRPr="00DC1AEF" w:rsidRDefault="001C1F72" w:rsidP="00DC1AEF">
      <w:pPr>
        <w:jc w:val="both"/>
        <w:rPr>
          <w:rFonts w:ascii="Verdana" w:eastAsia="Batang" w:hAnsi="Verdana"/>
          <w:color w:val="333399"/>
          <w:sz w:val="24"/>
          <w:szCs w:val="24"/>
          <w:lang w:eastAsia="es-ES"/>
        </w:rPr>
      </w:pPr>
    </w:p>
    <w:p w14:paraId="318E567A" w14:textId="77777777" w:rsidR="001C1F72" w:rsidRPr="00DC1AEF" w:rsidRDefault="001C1F72" w:rsidP="00DC1AEF">
      <w:pPr>
        <w:jc w:val="both"/>
        <w:rPr>
          <w:rFonts w:ascii="Verdana" w:eastAsia="Batang" w:hAnsi="Verdana"/>
          <w:sz w:val="24"/>
          <w:szCs w:val="24"/>
          <w:lang w:eastAsia="es-ES"/>
        </w:rPr>
      </w:pPr>
      <w:r w:rsidRPr="00DC1AEF">
        <w:rPr>
          <w:rFonts w:ascii="Verdana" w:eastAsia="Batang" w:hAnsi="Verdana"/>
          <w:b/>
          <w:bCs/>
          <w:sz w:val="24"/>
          <w:szCs w:val="24"/>
          <w:lang w:eastAsia="es-ES"/>
        </w:rPr>
        <w:lastRenderedPageBreak/>
        <w:t>En Galicia</w:t>
      </w:r>
      <w:r w:rsidRPr="00DC1AEF">
        <w:rPr>
          <w:rFonts w:ascii="Verdana" w:eastAsia="Batang" w:hAnsi="Verdana"/>
          <w:sz w:val="24"/>
          <w:szCs w:val="24"/>
          <w:lang w:eastAsia="es-ES"/>
        </w:rPr>
        <w:t xml:space="preserve"> habría de procederse en las  vías propuestas en el borrador de la Disposición Adicional segunda </w:t>
      </w:r>
      <w:r w:rsidR="00477B57" w:rsidRPr="00DC1AEF">
        <w:rPr>
          <w:rFonts w:ascii="Verdana" w:eastAsia="Batang" w:hAnsi="Verdana"/>
          <w:sz w:val="24"/>
          <w:szCs w:val="24"/>
          <w:lang w:eastAsia="es-ES"/>
        </w:rPr>
        <w:t xml:space="preserve">del borrador de </w:t>
      </w:r>
      <w:proofErr w:type="spellStart"/>
      <w:r w:rsidRPr="00DC1AEF">
        <w:rPr>
          <w:rFonts w:ascii="Verdana" w:eastAsia="Batang" w:hAnsi="Verdana"/>
          <w:sz w:val="24"/>
          <w:szCs w:val="24"/>
          <w:lang w:eastAsia="es-ES"/>
        </w:rPr>
        <w:t>de</w:t>
      </w:r>
      <w:proofErr w:type="spellEnd"/>
      <w:r w:rsidRPr="00DC1AEF">
        <w:rPr>
          <w:rFonts w:ascii="Verdana" w:eastAsia="Batang" w:hAnsi="Verdana"/>
          <w:sz w:val="24"/>
          <w:szCs w:val="24"/>
          <w:lang w:eastAsia="es-ES"/>
        </w:rPr>
        <w:t xml:space="preserve"> la Orden:</w:t>
      </w:r>
      <w:r w:rsidRPr="00DC1AEF">
        <w:rPr>
          <w:rFonts w:ascii="Verdana" w:eastAsia="Batang" w:hAnsi="Verdana"/>
          <w:sz w:val="24"/>
          <w:szCs w:val="24"/>
          <w:lang w:eastAsia="es-ES"/>
        </w:rPr>
        <w:br/>
      </w:r>
    </w:p>
    <w:p w14:paraId="3C9860FC" w14:textId="77777777" w:rsidR="001C1F72" w:rsidRPr="00DC1AEF" w:rsidRDefault="001C1F72" w:rsidP="00DC1AEF">
      <w:pPr>
        <w:pStyle w:val="Prrafodelista"/>
        <w:numPr>
          <w:ilvl w:val="1"/>
          <w:numId w:val="3"/>
        </w:numPr>
        <w:rPr>
          <w:rFonts w:ascii="Verdana" w:eastAsia="Batang" w:hAnsi="Verdana"/>
        </w:rPr>
      </w:pPr>
      <w:r w:rsidRPr="00DC1AEF">
        <w:rPr>
          <w:rFonts w:ascii="Verdana" w:eastAsia="Batang" w:hAnsi="Verdana"/>
        </w:rPr>
        <w:t xml:space="preserve"> Reducción de costes: </w:t>
      </w:r>
    </w:p>
    <w:p w14:paraId="3CCD7525" w14:textId="77777777" w:rsidR="00912CA1" w:rsidRPr="00DC1AEF" w:rsidRDefault="00912CA1" w:rsidP="00DC1AEF">
      <w:pPr>
        <w:pStyle w:val="Prrafodelista"/>
        <w:ind w:left="1182" w:firstLine="0"/>
        <w:rPr>
          <w:rFonts w:ascii="Verdana" w:eastAsia="Batang" w:hAnsi="Verdana"/>
        </w:rPr>
      </w:pPr>
    </w:p>
    <w:p w14:paraId="3113DEDD" w14:textId="77777777" w:rsidR="00912CA1" w:rsidRPr="00DC1AEF" w:rsidRDefault="00912CA1" w:rsidP="00DC1AEF">
      <w:pPr>
        <w:ind w:left="1182"/>
        <w:jc w:val="both"/>
        <w:rPr>
          <w:rFonts w:ascii="Verdana" w:eastAsia="Batang" w:hAnsi="Verdana"/>
          <w:sz w:val="24"/>
          <w:szCs w:val="24"/>
          <w:lang w:eastAsia="es-ES"/>
        </w:rPr>
      </w:pPr>
      <w:r w:rsidRPr="00DC1AEF">
        <w:rPr>
          <w:rFonts w:ascii="Verdana" w:eastAsia="Batang" w:hAnsi="Verdana"/>
          <w:sz w:val="24"/>
          <w:szCs w:val="24"/>
          <w:lang w:eastAsia="es-ES"/>
        </w:rPr>
        <w:t>- Aplazamiento de inversiones ( vehículos y equipamientos )</w:t>
      </w:r>
    </w:p>
    <w:p w14:paraId="625996A1" w14:textId="77777777" w:rsidR="00912CA1" w:rsidRPr="00DC1AEF" w:rsidRDefault="00912CA1" w:rsidP="00DC1AEF">
      <w:pPr>
        <w:ind w:left="474" w:firstLine="708"/>
        <w:jc w:val="both"/>
        <w:rPr>
          <w:rFonts w:ascii="Verdana" w:eastAsia="Batang" w:hAnsi="Verdana"/>
          <w:sz w:val="24"/>
          <w:szCs w:val="24"/>
          <w:lang w:eastAsia="es-ES"/>
        </w:rPr>
      </w:pPr>
      <w:r w:rsidRPr="00DC1AEF">
        <w:rPr>
          <w:rFonts w:ascii="Verdana" w:eastAsia="Batang" w:hAnsi="Verdana"/>
          <w:sz w:val="24"/>
          <w:szCs w:val="24"/>
          <w:lang w:eastAsia="es-ES"/>
        </w:rPr>
        <w:t>- Ampliación plazo concesiones.</w:t>
      </w:r>
    </w:p>
    <w:p w14:paraId="21F4903B" w14:textId="77777777" w:rsidR="00912CA1" w:rsidRPr="00DC1AEF" w:rsidRDefault="00912CA1" w:rsidP="00DC1AEF">
      <w:pPr>
        <w:pStyle w:val="Prrafodelista"/>
        <w:ind w:left="1182" w:firstLine="0"/>
        <w:rPr>
          <w:rFonts w:ascii="Verdana" w:eastAsia="Batang" w:hAnsi="Verdana"/>
        </w:rPr>
      </w:pPr>
      <w:r w:rsidRPr="00DC1AEF">
        <w:rPr>
          <w:rFonts w:ascii="Verdana" w:eastAsia="Batang" w:hAnsi="Verdana"/>
        </w:rPr>
        <w:t>- Prestación a la demanda pura de todos los servicios integrados en tanto no se recupere la normalidad escolar</w:t>
      </w:r>
    </w:p>
    <w:p w14:paraId="3E4DF6EF" w14:textId="77777777" w:rsidR="00912CA1" w:rsidRPr="00DC1AEF" w:rsidRDefault="00912CA1" w:rsidP="00DC1AEF">
      <w:pPr>
        <w:pStyle w:val="Prrafodelista"/>
        <w:ind w:left="1182" w:firstLine="0"/>
        <w:rPr>
          <w:rFonts w:ascii="Verdana" w:eastAsia="Batang" w:hAnsi="Verdana"/>
        </w:rPr>
      </w:pPr>
    </w:p>
    <w:p w14:paraId="5006FDF3" w14:textId="77777777" w:rsidR="001C1F72" w:rsidRPr="00DC1AEF" w:rsidRDefault="001C1F72" w:rsidP="00DC1AEF">
      <w:pPr>
        <w:pStyle w:val="Prrafodelista"/>
        <w:numPr>
          <w:ilvl w:val="1"/>
          <w:numId w:val="3"/>
        </w:numPr>
        <w:rPr>
          <w:rFonts w:ascii="Verdana" w:eastAsia="Batang" w:hAnsi="Verdana"/>
        </w:rPr>
      </w:pPr>
      <w:r w:rsidRPr="00DC1AEF">
        <w:rPr>
          <w:rFonts w:ascii="Verdana" w:eastAsia="Batang" w:hAnsi="Verdana"/>
        </w:rPr>
        <w:t xml:space="preserve">Compensación </w:t>
      </w:r>
      <w:r w:rsidR="00477B57" w:rsidRPr="00DC1AEF">
        <w:rPr>
          <w:rFonts w:ascii="Verdana" w:eastAsia="Batang" w:hAnsi="Verdana"/>
        </w:rPr>
        <w:t xml:space="preserve">económica </w:t>
      </w:r>
      <w:r w:rsidRPr="00DC1AEF">
        <w:rPr>
          <w:rFonts w:ascii="Verdana" w:eastAsia="Batang" w:hAnsi="Verdana"/>
        </w:rPr>
        <w:t>en un pago:</w:t>
      </w:r>
    </w:p>
    <w:p w14:paraId="374925ED" w14:textId="77777777" w:rsidR="001C1F72" w:rsidRPr="00DC1AEF" w:rsidRDefault="001C1F72" w:rsidP="00DC1AEF">
      <w:pPr>
        <w:ind w:left="708" w:firstLine="426"/>
        <w:jc w:val="both"/>
        <w:rPr>
          <w:rFonts w:ascii="Verdana" w:eastAsia="Batang" w:hAnsi="Verdana"/>
          <w:sz w:val="24"/>
          <w:szCs w:val="24"/>
          <w:lang w:eastAsia="es-ES"/>
        </w:rPr>
      </w:pPr>
      <w:r w:rsidRPr="00DC1AEF">
        <w:rPr>
          <w:rFonts w:ascii="Verdana" w:eastAsia="Batang" w:hAnsi="Verdana"/>
          <w:sz w:val="24"/>
          <w:szCs w:val="24"/>
        </w:rPr>
        <w:t xml:space="preserve">- Concesiones sin COPS </w:t>
      </w:r>
      <w:r w:rsidRPr="00DC1AEF">
        <w:rPr>
          <w:rFonts w:ascii="Verdana" w:eastAsia="Batang" w:hAnsi="Verdana"/>
          <w:sz w:val="24"/>
          <w:szCs w:val="24"/>
          <w:lang w:eastAsia="es-ES"/>
        </w:rPr>
        <w:t xml:space="preserve"> </w:t>
      </w:r>
    </w:p>
    <w:p w14:paraId="0C40B5FD" w14:textId="77777777" w:rsidR="001C1F72" w:rsidRPr="00DC1AEF" w:rsidRDefault="001C1F72" w:rsidP="00DC1AEF">
      <w:pPr>
        <w:ind w:left="1416" w:hanging="282"/>
        <w:jc w:val="both"/>
        <w:rPr>
          <w:rFonts w:ascii="Verdana" w:eastAsia="Batang" w:hAnsi="Verdana"/>
          <w:sz w:val="24"/>
          <w:szCs w:val="24"/>
          <w:lang w:eastAsia="es-ES"/>
        </w:rPr>
      </w:pPr>
      <w:r w:rsidRPr="00DC1AEF">
        <w:rPr>
          <w:rFonts w:ascii="Verdana" w:eastAsia="Batang" w:hAnsi="Verdana"/>
          <w:sz w:val="24"/>
          <w:szCs w:val="24"/>
          <w:lang w:eastAsia="es-ES"/>
        </w:rPr>
        <w:t>- Concesiones mayoritariamente de servicios integrados donde la COPS es residual ( inferiores al 20% de sus costes) cuya financiación descansa de forma esencial en la reserva de plaza, salvo que se abone esta como en marzo.</w:t>
      </w:r>
    </w:p>
    <w:p w14:paraId="299269ED" w14:textId="77777777" w:rsidR="001C1F72" w:rsidRPr="00DC1AEF" w:rsidRDefault="001C1F72" w:rsidP="00DC1AEF">
      <w:pPr>
        <w:ind w:left="708" w:firstLine="708"/>
        <w:jc w:val="both"/>
        <w:rPr>
          <w:rFonts w:ascii="Verdana" w:eastAsia="Batang" w:hAnsi="Verdana"/>
          <w:sz w:val="24"/>
          <w:szCs w:val="24"/>
          <w:lang w:eastAsia="es-ES"/>
        </w:rPr>
      </w:pPr>
    </w:p>
    <w:p w14:paraId="70F679B8" w14:textId="77777777" w:rsidR="00425412" w:rsidRDefault="00425412"/>
    <w:sectPr w:rsidR="00425412" w:rsidSect="001C1F72">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462" w:hanging="360"/>
      </w:pPr>
      <w:rPr>
        <w:rFonts w:ascii="Calibri" w:hAnsi="Calibri" w:cs="Calibri"/>
        <w:b w:val="0"/>
        <w:bCs w:val="0"/>
        <w:w w:val="100"/>
        <w:sz w:val="22"/>
        <w:szCs w:val="22"/>
      </w:rPr>
    </w:lvl>
    <w:lvl w:ilvl="1">
      <w:start w:val="1"/>
      <w:numFmt w:val="lowerLetter"/>
      <w:lvlText w:val="%2)"/>
      <w:lvlJc w:val="left"/>
      <w:pPr>
        <w:ind w:left="1182" w:hanging="360"/>
      </w:pPr>
      <w:rPr>
        <w:rFonts w:ascii="Calibri" w:hAnsi="Calibri" w:cs="Calibri"/>
        <w:b w:val="0"/>
        <w:bCs w:val="0"/>
        <w:spacing w:val="-1"/>
        <w:w w:val="100"/>
        <w:sz w:val="22"/>
        <w:szCs w:val="22"/>
      </w:rPr>
    </w:lvl>
    <w:lvl w:ilvl="2">
      <w:numFmt w:val="bullet"/>
      <w:lvlText w:val="•"/>
      <w:lvlJc w:val="left"/>
      <w:pPr>
        <w:ind w:left="1180" w:hanging="360"/>
      </w:pPr>
    </w:lvl>
    <w:lvl w:ilvl="3">
      <w:numFmt w:val="bullet"/>
      <w:lvlText w:val="•"/>
      <w:lvlJc w:val="left"/>
      <w:pPr>
        <w:ind w:left="2123" w:hanging="360"/>
      </w:pPr>
    </w:lvl>
    <w:lvl w:ilvl="4">
      <w:numFmt w:val="bullet"/>
      <w:lvlText w:val="•"/>
      <w:lvlJc w:val="left"/>
      <w:pPr>
        <w:ind w:left="3066" w:hanging="360"/>
      </w:pPr>
    </w:lvl>
    <w:lvl w:ilvl="5">
      <w:numFmt w:val="bullet"/>
      <w:lvlText w:val="•"/>
      <w:lvlJc w:val="left"/>
      <w:pPr>
        <w:ind w:left="4009" w:hanging="360"/>
      </w:pPr>
    </w:lvl>
    <w:lvl w:ilvl="6">
      <w:numFmt w:val="bullet"/>
      <w:lvlText w:val="•"/>
      <w:lvlJc w:val="left"/>
      <w:pPr>
        <w:ind w:left="4953" w:hanging="360"/>
      </w:pPr>
    </w:lvl>
    <w:lvl w:ilvl="7">
      <w:numFmt w:val="bullet"/>
      <w:lvlText w:val="•"/>
      <w:lvlJc w:val="left"/>
      <w:pPr>
        <w:ind w:left="5896" w:hanging="360"/>
      </w:pPr>
    </w:lvl>
    <w:lvl w:ilvl="8">
      <w:numFmt w:val="bullet"/>
      <w:lvlText w:val="•"/>
      <w:lvlJc w:val="left"/>
      <w:pPr>
        <w:ind w:left="6839" w:hanging="360"/>
      </w:pPr>
    </w:lvl>
  </w:abstractNum>
  <w:abstractNum w:abstractNumId="1" w15:restartNumberingAfterBreak="0">
    <w:nsid w:val="00000403"/>
    <w:multiLevelType w:val="multilevel"/>
    <w:tmpl w:val="879E2D3C"/>
    <w:lvl w:ilvl="0">
      <w:start w:val="3"/>
      <w:numFmt w:val="lowerLetter"/>
      <w:lvlText w:val="%1)"/>
      <w:lvlJc w:val="left"/>
      <w:pPr>
        <w:ind w:left="1495" w:hanging="360"/>
      </w:pPr>
      <w:rPr>
        <w:rFonts w:ascii="Calibri" w:hAnsi="Calibri" w:cs="Calibri" w:hint="default"/>
        <w:b w:val="0"/>
        <w:bCs w:val="0"/>
        <w:spacing w:val="-1"/>
        <w:w w:val="100"/>
        <w:sz w:val="22"/>
        <w:szCs w:val="22"/>
      </w:rPr>
    </w:lvl>
    <w:lvl w:ilvl="1">
      <w:numFmt w:val="bullet"/>
      <w:lvlText w:val="•"/>
      <w:lvlJc w:val="left"/>
      <w:pPr>
        <w:ind w:left="1934" w:hanging="360"/>
      </w:pPr>
    </w:lvl>
    <w:lvl w:ilvl="2">
      <w:numFmt w:val="bullet"/>
      <w:lvlText w:val="•"/>
      <w:lvlJc w:val="left"/>
      <w:pPr>
        <w:ind w:left="2689" w:hanging="360"/>
      </w:pPr>
    </w:lvl>
    <w:lvl w:ilvl="3">
      <w:numFmt w:val="bullet"/>
      <w:lvlText w:val="•"/>
      <w:lvlJc w:val="left"/>
      <w:pPr>
        <w:ind w:left="3443" w:hanging="360"/>
      </w:pPr>
    </w:lvl>
    <w:lvl w:ilvl="4">
      <w:numFmt w:val="bullet"/>
      <w:lvlText w:val="•"/>
      <w:lvlJc w:val="left"/>
      <w:pPr>
        <w:ind w:left="4198" w:hanging="360"/>
      </w:pPr>
    </w:lvl>
    <w:lvl w:ilvl="5">
      <w:numFmt w:val="bullet"/>
      <w:lvlText w:val="•"/>
      <w:lvlJc w:val="left"/>
      <w:pPr>
        <w:ind w:left="4953" w:hanging="360"/>
      </w:pPr>
    </w:lvl>
    <w:lvl w:ilvl="6">
      <w:numFmt w:val="bullet"/>
      <w:lvlText w:val="•"/>
      <w:lvlJc w:val="left"/>
      <w:pPr>
        <w:ind w:left="5707" w:hanging="360"/>
      </w:pPr>
    </w:lvl>
    <w:lvl w:ilvl="7">
      <w:numFmt w:val="bullet"/>
      <w:lvlText w:val="•"/>
      <w:lvlJc w:val="left"/>
      <w:pPr>
        <w:ind w:left="6462" w:hanging="360"/>
      </w:pPr>
    </w:lvl>
    <w:lvl w:ilvl="8">
      <w:numFmt w:val="bullet"/>
      <w:lvlText w:val="•"/>
      <w:lvlJc w:val="left"/>
      <w:pPr>
        <w:ind w:left="7217" w:hanging="360"/>
      </w:pPr>
    </w:lvl>
  </w:abstractNum>
  <w:abstractNum w:abstractNumId="2" w15:restartNumberingAfterBreak="0">
    <w:nsid w:val="3BAB3C83"/>
    <w:multiLevelType w:val="multilevel"/>
    <w:tmpl w:val="EFC27A6A"/>
    <w:lvl w:ilvl="0">
      <w:start w:val="1"/>
      <w:numFmt w:val="decimal"/>
      <w:lvlText w:val="%1."/>
      <w:lvlJc w:val="left"/>
      <w:pPr>
        <w:ind w:left="462" w:hanging="360"/>
      </w:pPr>
      <w:rPr>
        <w:rFonts w:ascii="Calibri" w:hAnsi="Calibri" w:cs="Calibri"/>
        <w:b w:val="0"/>
        <w:bCs w:val="0"/>
        <w:w w:val="100"/>
        <w:sz w:val="22"/>
        <w:szCs w:val="22"/>
      </w:rPr>
    </w:lvl>
    <w:lvl w:ilvl="1">
      <w:start w:val="1"/>
      <w:numFmt w:val="lowerLetter"/>
      <w:lvlText w:val="%2)"/>
      <w:lvlJc w:val="left"/>
      <w:pPr>
        <w:ind w:left="1182" w:hanging="360"/>
      </w:pPr>
      <w:rPr>
        <w:b w:val="0"/>
        <w:bCs w:val="0"/>
        <w:spacing w:val="-1"/>
        <w:w w:val="100"/>
        <w:sz w:val="22"/>
        <w:szCs w:val="22"/>
      </w:rPr>
    </w:lvl>
    <w:lvl w:ilvl="2">
      <w:numFmt w:val="bullet"/>
      <w:lvlText w:val="•"/>
      <w:lvlJc w:val="left"/>
      <w:pPr>
        <w:ind w:left="1180" w:hanging="360"/>
      </w:pPr>
    </w:lvl>
    <w:lvl w:ilvl="3">
      <w:numFmt w:val="bullet"/>
      <w:lvlText w:val="•"/>
      <w:lvlJc w:val="left"/>
      <w:pPr>
        <w:ind w:left="2123" w:hanging="360"/>
      </w:pPr>
    </w:lvl>
    <w:lvl w:ilvl="4">
      <w:numFmt w:val="bullet"/>
      <w:lvlText w:val="•"/>
      <w:lvlJc w:val="left"/>
      <w:pPr>
        <w:ind w:left="3066" w:hanging="360"/>
      </w:pPr>
    </w:lvl>
    <w:lvl w:ilvl="5">
      <w:numFmt w:val="bullet"/>
      <w:lvlText w:val="•"/>
      <w:lvlJc w:val="left"/>
      <w:pPr>
        <w:ind w:left="4009" w:hanging="360"/>
      </w:pPr>
    </w:lvl>
    <w:lvl w:ilvl="6">
      <w:numFmt w:val="bullet"/>
      <w:lvlText w:val="•"/>
      <w:lvlJc w:val="left"/>
      <w:pPr>
        <w:ind w:left="4953" w:hanging="360"/>
      </w:pPr>
    </w:lvl>
    <w:lvl w:ilvl="7">
      <w:numFmt w:val="bullet"/>
      <w:lvlText w:val="•"/>
      <w:lvlJc w:val="left"/>
      <w:pPr>
        <w:ind w:left="5896" w:hanging="360"/>
      </w:pPr>
    </w:lvl>
    <w:lvl w:ilvl="8">
      <w:numFmt w:val="bullet"/>
      <w:lvlText w:val="•"/>
      <w:lvlJc w:val="left"/>
      <w:pPr>
        <w:ind w:left="6839" w:hanging="360"/>
      </w:pPr>
    </w:lvl>
  </w:abstractNum>
  <w:abstractNum w:abstractNumId="3" w15:restartNumberingAfterBreak="0">
    <w:nsid w:val="40652E0D"/>
    <w:multiLevelType w:val="hybridMultilevel"/>
    <w:tmpl w:val="A55E7B3A"/>
    <w:lvl w:ilvl="0" w:tplc="0C0A0017">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3"/>
    </w:lvlOverride>
    <w:lvlOverride w:ilvl="1"/>
    <w:lvlOverride w:ilvl="2"/>
    <w:lvlOverride w:ilvl="3"/>
    <w:lvlOverride w:ilvl="4"/>
    <w:lvlOverride w:ilvl="5"/>
    <w:lvlOverride w:ilvl="6"/>
    <w:lvlOverride w:ilvl="7"/>
    <w:lvlOverride w:ilvl="8"/>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F72"/>
    <w:rsid w:val="000D0FCF"/>
    <w:rsid w:val="001C1F72"/>
    <w:rsid w:val="00240BA3"/>
    <w:rsid w:val="002872CB"/>
    <w:rsid w:val="00376351"/>
    <w:rsid w:val="00425412"/>
    <w:rsid w:val="00477B57"/>
    <w:rsid w:val="008E716B"/>
    <w:rsid w:val="00912CA1"/>
    <w:rsid w:val="00A42343"/>
    <w:rsid w:val="00AC548F"/>
    <w:rsid w:val="00B7740C"/>
    <w:rsid w:val="00D07AA7"/>
    <w:rsid w:val="00DC1AEF"/>
    <w:rsid w:val="00E41E7D"/>
    <w:rsid w:val="00E71B80"/>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AAD5"/>
  <w15:chartTrackingRefBased/>
  <w15:docId w15:val="{FB818EC5-3E93-4E9B-904B-7D798BC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F72"/>
    <w:pPr>
      <w:spacing w:after="0" w:line="240" w:lineRule="auto"/>
    </w:pPr>
    <w:rPr>
      <w:rFonts w:ascii="Calibri" w:eastAsiaTheme="minorHAns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1C1F72"/>
    <w:pPr>
      <w:autoSpaceDE w:val="0"/>
      <w:autoSpaceDN w:val="0"/>
    </w:pPr>
    <w:rPr>
      <w:lang w:eastAsia="es-ES"/>
    </w:rPr>
  </w:style>
  <w:style w:type="character" w:customStyle="1" w:styleId="TextoindependienteCar">
    <w:name w:val="Texto independiente Car"/>
    <w:basedOn w:val="Fuentedeprrafopredeter"/>
    <w:link w:val="Textoindependiente"/>
    <w:uiPriority w:val="1"/>
    <w:rsid w:val="001C1F72"/>
    <w:rPr>
      <w:rFonts w:ascii="Calibri" w:eastAsiaTheme="minorHAnsi" w:hAnsi="Calibri" w:cs="Calibri"/>
    </w:rPr>
  </w:style>
  <w:style w:type="paragraph" w:styleId="Prrafodelista">
    <w:name w:val="List Paragraph"/>
    <w:basedOn w:val="Normal"/>
    <w:uiPriority w:val="1"/>
    <w:qFormat/>
    <w:rsid w:val="001C1F72"/>
    <w:pPr>
      <w:autoSpaceDE w:val="0"/>
      <w:autoSpaceDN w:val="0"/>
      <w:ind w:left="886" w:hanging="360"/>
      <w:jc w:val="both"/>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2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GCUMPLIDO</dc:creator>
  <cp:keywords/>
  <dc:description/>
  <cp:lastModifiedBy>scarvajal</cp:lastModifiedBy>
  <cp:revision>2</cp:revision>
  <dcterms:created xsi:type="dcterms:W3CDTF">2020-05-15T19:57:00Z</dcterms:created>
  <dcterms:modified xsi:type="dcterms:W3CDTF">2020-05-15T19:57:00Z</dcterms:modified>
</cp:coreProperties>
</file>